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Spec="center" w:tblpY="1860"/>
        <w:tblOverlap w:val="never"/>
        <w:tblW w:w="9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2505"/>
        <w:gridCol w:w="2127"/>
        <w:gridCol w:w="3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5" w:type="dxa"/>
            <w:gridSpan w:val="4"/>
            <w:vAlign w:val="center"/>
          </w:tcPr>
          <w:p>
            <w:pPr>
              <w:jc w:val="center"/>
              <w:rPr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kern w:val="0"/>
                <w:sz w:val="32"/>
                <w:szCs w:val="32"/>
              </w:rPr>
              <w:t>新版光盘数据库与旧版光盘数据库功能对照表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品目名称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功能模块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旧版光盘数据库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新版光盘数据库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restart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产品技术规格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开发语言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FF0000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.net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color w:val="FF0000"/>
                <w:kern w:val="0"/>
                <w:sz w:val="20"/>
              </w:rPr>
            </w:pPr>
            <w:r>
              <w:rPr>
                <w:kern w:val="0"/>
                <w:sz w:val="20"/>
              </w:rPr>
              <w:t>J</w:t>
            </w:r>
            <w:r>
              <w:rPr>
                <w:rFonts w:hint="eastAsia"/>
                <w:kern w:val="0"/>
                <w:sz w:val="20"/>
              </w:rPr>
              <w:t>ava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数据接口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不提供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可提供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统一认证、单点登录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有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可以和各种平台整合，实现单点登录统一认证。使用校园门户的密码以及图书馆OPAC系统的密码都可以成功登录，访问相应授权的资源。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终端展示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PC端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bCs/>
                <w:kern w:val="0"/>
                <w:sz w:val="20"/>
              </w:rPr>
              <w:t>支持各种</w:t>
            </w:r>
            <w:r>
              <w:rPr>
                <w:rFonts w:hint="eastAsia"/>
                <w:kern w:val="0"/>
                <w:sz w:val="20"/>
              </w:rPr>
              <w:t>PC、手机、IPAD等移动终端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访问模式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通过PC端浏览器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通过APP、微信、PC端或移动终端的各种常见浏览器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数据安全性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一般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安全性能高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restart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产品功能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移动端使用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无</w:t>
            </w:r>
          </w:p>
        </w:tc>
        <w:tc>
          <w:tcPr>
            <w:tcW w:w="3361" w:type="dxa"/>
            <w:vAlign w:val="center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通过访问移动APP，可随时随地浏览数据库资源，为读者提供在线检索、预览、收藏等功能，光盘支持在线播放。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微信端使用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无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通过将光盘数据库嵌入到学校微信公众号，实现光盘数据库在微信端的检索、请求、收藏、分享等功能，同时还支持图书馆光盘信息的发布。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加密光盘的管理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无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通过光盘数据库系统，进行图书、随书光盘等馆藏资源基本字段检索，并可就近到对应的线下实体光盘库去查询、浏览或借阅所需要的随书光盘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配套电子书</w:t>
            </w: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可与本馆已购买的畅想之星馆配电子书做对接，展示电子书全文。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</w:rPr>
              <w:t>除支持已购畅想之星馆配电子书对接以外，还能对接其他本馆购买的电子书。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读者数据的主动推送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无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</w:rPr>
              <w:t>通过对接OPAC系统，获取学生借阅记录，根据学生的借阅记录，主动推送相关随书光盘的信息和下载地址。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与OPAC系统整合</w:t>
            </w: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</w:rPr>
              <w:t>与图书馆自动化系统实现双向无缝链接，即：一方面可从馆藏检索系统（OPAC）进入可自动关联下载所需的随书光盘。同时在加工光盘的时候也可共享纸书的编目信息（提取编目操作）。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</w:rPr>
              <w:t>不仅可与图书馆自动化系统实现双向无缝链接，还可以实现资源揭示将图书的封面、目录、内容简介等信息显示在OPAC详细信息页面，进一步扩充OPAC的功能及内容。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音、视频在线播放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无</w:t>
            </w:r>
          </w:p>
        </w:tc>
        <w:tc>
          <w:tcPr>
            <w:tcW w:w="3361" w:type="dxa"/>
            <w:vAlign w:val="center"/>
          </w:tcPr>
          <w:p>
            <w:pPr>
              <w:pStyle w:val="5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支持音、视频的在线播放。</w:t>
            </w:r>
          </w:p>
          <w:p>
            <w:pPr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图片、文本在线打开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无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支持常见格式的图片和文本在线打开功能。</w:t>
            </w:r>
          </w:p>
          <w:p>
            <w:pPr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IP范围外访问</w:t>
            </w: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需要统一认证和单点登录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除了支持</w:t>
            </w:r>
            <w:r>
              <w:rPr>
                <w:rFonts w:hint="eastAsia"/>
                <w:kern w:val="0"/>
                <w:sz w:val="20"/>
                <w:szCs w:val="21"/>
              </w:rPr>
              <w:t>统一认证和单点登录外</w:t>
            </w:r>
            <w:r>
              <w:rPr>
                <w:rFonts w:hint="eastAsia"/>
                <w:kern w:val="0"/>
                <w:sz w:val="20"/>
              </w:rPr>
              <w:t>，同时支持在授权IP范围内注册的用户可以在IP范围外登录访问。注册和登录方式方便快捷，支持第三方登录（微信、QQ、微博等），也支持扫描二维码快速登录。注：在IP范围内则无需登录即可使用。。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1"/>
              </w:rPr>
              <w:t>个人中心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无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通过登陆个人账户，同步备份个人数据，实现收藏、下载、浏览记录、光盘请求、纠错、消息推送、个人信息维护等功能。实现一次下载，终生拥有。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restart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后台功能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学校LOGO设置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</w:rPr>
              <w:t>有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可在后台设置显示本校LOGO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个人上传光盘功能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个人可上传光盘总库中没有的光盘数据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数据统计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各种使用数据如登陆、下载、访问等数据统计，并支持简单的数据分析。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restart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安装部署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硬件要求</w:t>
            </w: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学校自己准备服务器和存储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在符合公司正常报价体系要求下，可</w:t>
            </w:r>
            <w:r>
              <w:rPr>
                <w:kern w:val="0"/>
                <w:sz w:val="20"/>
              </w:rPr>
              <w:t>免费提供一台服务器和4T的存储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硬件维护</w:t>
            </w: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硬件设备需要学校维护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免费维护硬件设备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</w:rPr>
              <w:t>安装环境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仅限</w:t>
            </w:r>
            <w:r>
              <w:rPr>
                <w:kern w:val="0"/>
                <w:sz w:val="20"/>
              </w:rPr>
              <w:t>W</w:t>
            </w:r>
            <w:r>
              <w:rPr>
                <w:rFonts w:hint="eastAsia"/>
                <w:kern w:val="0"/>
                <w:sz w:val="20"/>
              </w:rPr>
              <w:t>indows系统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W</w:t>
            </w:r>
            <w:r>
              <w:rPr>
                <w:rFonts w:hint="eastAsia"/>
                <w:kern w:val="0"/>
                <w:sz w:val="20"/>
              </w:rPr>
              <w:t>indows系统+Linux系统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负载均衡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FF0000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有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支持大量用户并发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74A2"/>
    <w:rsid w:val="000172C3"/>
    <w:rsid w:val="000258CD"/>
    <w:rsid w:val="00031C6F"/>
    <w:rsid w:val="000F23B3"/>
    <w:rsid w:val="00157259"/>
    <w:rsid w:val="001852B0"/>
    <w:rsid w:val="00206417"/>
    <w:rsid w:val="00231EED"/>
    <w:rsid w:val="002971B9"/>
    <w:rsid w:val="00326412"/>
    <w:rsid w:val="00401B6E"/>
    <w:rsid w:val="004142FE"/>
    <w:rsid w:val="0046415B"/>
    <w:rsid w:val="0053278C"/>
    <w:rsid w:val="005414CA"/>
    <w:rsid w:val="005C40EC"/>
    <w:rsid w:val="00624C00"/>
    <w:rsid w:val="006B7953"/>
    <w:rsid w:val="00770151"/>
    <w:rsid w:val="00827421"/>
    <w:rsid w:val="008A00C9"/>
    <w:rsid w:val="008B7127"/>
    <w:rsid w:val="009C74A2"/>
    <w:rsid w:val="009E3A84"/>
    <w:rsid w:val="00A57DDE"/>
    <w:rsid w:val="00AA4234"/>
    <w:rsid w:val="00BD203D"/>
    <w:rsid w:val="00C03FE8"/>
    <w:rsid w:val="00CC60AF"/>
    <w:rsid w:val="00CD3F47"/>
    <w:rsid w:val="00CE7198"/>
    <w:rsid w:val="00DD3757"/>
    <w:rsid w:val="00E1343C"/>
    <w:rsid w:val="00E36A87"/>
    <w:rsid w:val="00E45DB9"/>
    <w:rsid w:val="00E964AC"/>
    <w:rsid w:val="00F313BA"/>
    <w:rsid w:val="06EC5489"/>
    <w:rsid w:val="21B8693A"/>
    <w:rsid w:val="3AF61D0F"/>
    <w:rsid w:val="43D47F3D"/>
    <w:rsid w:val="7A0F2F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HTML 预设格式 Char"/>
    <w:basedOn w:val="6"/>
    <w:link w:val="5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</Words>
  <Characters>1101</Characters>
  <Lines>9</Lines>
  <Paragraphs>2</Paragraphs>
  <ScaleCrop>false</ScaleCrop>
  <LinksUpToDate>false</LinksUpToDate>
  <CharactersWithSpaces>1292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2017-02-15T07:21:00Z</dcterms:created>
  <dc:creator>cxstar-02</dc:creator>
  <cp:lastModifiedBy>Administrator</cp:lastModifiedBy>
  <dcterms:modified xsi:type="dcterms:W3CDTF">2018-01-22T09:39:09Z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